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5408" w14:textId="25F3232A" w:rsidR="00F41C5D" w:rsidRDefault="00DF21DF" w:rsidP="00F41C5D">
      <w:pPr>
        <w:rPr>
          <w:bCs/>
          <w:lang w:val="en-GB"/>
        </w:rPr>
      </w:pPr>
      <w:r w:rsidRPr="008438D8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0D5E19FD" wp14:editId="7B98C41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86385" cy="28638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D4685" w:rsidRPr="009B6067" w14:paraId="6A376AF2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69BF47EE" w14:textId="3A15012A" w:rsidR="00FD4685" w:rsidRDefault="002C4A1F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noProof/>
                  <w:sz w:val="28"/>
                  <w:szCs w:val="28"/>
                  <w:lang w:val="de-DE" w:eastAsia="de-DE"/>
                </w:rPr>
                <w:id w:val="-306783126"/>
                <w:placeholder>
                  <w:docPart w:val="A9444F6BF5B144CDAF5F5A6D74A9F0DD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F80841">
                  <w:rPr>
                    <w:rFonts w:eastAsia="Times New Roman"/>
                    <w:b/>
                    <w:bCs/>
                    <w:noProof/>
                    <w:sz w:val="28"/>
                    <w:szCs w:val="28"/>
                    <w:lang w:val="de-DE" w:eastAsia="de-DE"/>
                  </w:rPr>
                  <w:t>Form</w:t>
                </w:r>
              </w:sdtContent>
            </w:sdt>
          </w:p>
        </w:tc>
      </w:tr>
      <w:tr w:rsidR="00FD4685" w:rsidRPr="009B6067" w14:paraId="2FBF4AFD" w14:textId="77777777" w:rsidTr="00D7613F">
        <w:trPr>
          <w:trHeight w:val="1134"/>
        </w:trPr>
        <w:tc>
          <w:tcPr>
            <w:tcW w:w="9214" w:type="dxa"/>
            <w:gridSpan w:val="3"/>
          </w:tcPr>
          <w:p w14:paraId="6B0EBEEC" w14:textId="20845D6E" w:rsidR="00FD4685" w:rsidRDefault="002C4A1F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261805043"/>
                <w:placeholder>
                  <w:docPart w:val="015D0EFB58154A91A239FCDBB2070AC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proofErr w:type="spellStart"/>
                <w:r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Full</w:t>
                </w:r>
                <w:proofErr w:type="spellEnd"/>
                <w:r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 xml:space="preserve"> </w:t>
                </w:r>
                <w:proofErr w:type="spellStart"/>
                <w:r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declaration</w:t>
                </w:r>
                <w:proofErr w:type="spellEnd"/>
              </w:sdtContent>
            </w:sdt>
          </w:p>
        </w:tc>
      </w:tr>
      <w:tr w:rsidR="00FD4685" w:rsidRPr="006C6940" w14:paraId="7C162F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58AC8B13" w14:textId="53B13E5C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4C7E5F">
              <w:rPr>
                <w:b/>
              </w:rPr>
              <w:t>Identification number:</w:t>
            </w:r>
          </w:p>
        </w:tc>
        <w:tc>
          <w:tcPr>
            <w:tcW w:w="5244" w:type="dxa"/>
          </w:tcPr>
          <w:p w14:paraId="6E603676" w14:textId="7A7EC104" w:rsidR="00FD4685" w:rsidRPr="006C6940" w:rsidRDefault="002C4A1F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541339505"/>
                <w:placeholder>
                  <w:docPart w:val="259DDA3BB1C9431380C841EC82DF809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DF21DF">
                  <w:rPr>
                    <w:rFonts w:eastAsia="Times New Roman"/>
                    <w:lang w:val="en-GB" w:eastAsia="de-DE"/>
                  </w:rPr>
                  <w:t>ZL000_00_032</w:t>
                </w:r>
              </w:sdtContent>
            </w:sdt>
          </w:p>
        </w:tc>
      </w:tr>
      <w:tr w:rsidR="00FD4685" w:rsidRPr="009B6067" w14:paraId="677EA6E5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A2AF03D" w14:textId="7C841331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5C4F4108" w14:textId="3D35A60B" w:rsidR="00FD4685" w:rsidRPr="009B6067" w:rsidRDefault="002C4A1F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E715EAF6E5EE49A6ABAF99D6F92D456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634A5A">
                  <w:rPr>
                    <w:rFonts w:eastAsia="Times New Roman"/>
                    <w:lang w:val="en-GB" w:eastAsia="de-DE"/>
                  </w:rPr>
                  <w:t>3.2</w:t>
                </w:r>
              </w:sdtContent>
            </w:sdt>
          </w:p>
        </w:tc>
      </w:tr>
      <w:tr w:rsidR="00FD4685" w:rsidRPr="009B6067" w14:paraId="2F5CDCA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0D59AFA" w14:textId="1880B58A" w:rsidR="00FD4685" w:rsidRPr="009B6067" w:rsidRDefault="00FD4685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 from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1DA71EFF" w14:textId="4BF77655" w:rsidR="00FD4685" w:rsidRPr="009B6067" w:rsidRDefault="002C4A1F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238932386"/>
                <w:placeholder>
                  <w:docPart w:val="796569FFDD80424C8F4B6459E64B6E9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3-07-1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34A5A">
                  <w:rPr>
                    <w:rFonts w:eastAsia="Times New Roman"/>
                    <w:lang w:val="de-CH" w:eastAsia="de-DE"/>
                  </w:rPr>
                  <w:t>11.07.2023</w:t>
                </w:r>
              </w:sdtContent>
            </w:sdt>
          </w:p>
        </w:tc>
      </w:tr>
    </w:tbl>
    <w:bookmarkEnd w:id="0"/>
    <w:p w14:paraId="4955E1DE" w14:textId="1B123E77" w:rsidR="00DF21DF" w:rsidRPr="008438D8" w:rsidRDefault="00DF21DF" w:rsidP="00DF21DF">
      <w:pPr>
        <w:pStyle w:val="berschrift1"/>
        <w:rPr>
          <w:szCs w:val="22"/>
        </w:rPr>
      </w:pPr>
      <w:r w:rsidRPr="008438D8">
        <w:t>Basic information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DF21DF" w:rsidRPr="008438D8" w14:paraId="7B4EFEDA" w14:textId="77777777" w:rsidTr="000E4A55">
        <w:trPr>
          <w:trHeight w:val="256"/>
        </w:trPr>
        <w:tc>
          <w:tcPr>
            <w:tcW w:w="4678" w:type="dxa"/>
            <w:tcBorders>
              <w:right w:val="nil"/>
            </w:tcBorders>
            <w:vAlign w:val="center"/>
          </w:tcPr>
          <w:p w14:paraId="7EC6CB26" w14:textId="77777777" w:rsidR="00DF21DF" w:rsidRPr="008438D8" w:rsidRDefault="00DF21DF" w:rsidP="00A12370">
            <w:pPr>
              <w:spacing w:before="0"/>
              <w:rPr>
                <w:i/>
              </w:rPr>
            </w:pPr>
            <w:r w:rsidRPr="008438D8">
              <w:t>Name of medicinal product: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2B6C7847" w14:textId="77777777" w:rsidR="00DF21DF" w:rsidRPr="008438D8" w:rsidRDefault="002C4A1F" w:rsidP="00A12370">
            <w:pPr>
              <w:spacing w:before="0"/>
            </w:pPr>
            <w:sdt>
              <w:sdtPr>
                <w:id w:val="-54623936"/>
                <w:placeholder>
                  <w:docPart w:val="A0FDAAE1A8F94CB2A5490227710DB6E1"/>
                </w:placeholder>
                <w:temporary/>
                <w:showingPlcHdr/>
                <w:text w:multiLine="1"/>
              </w:sdtPr>
              <w:sdtEndPr/>
              <w:sdtContent>
                <w:r w:rsidR="00DF21DF" w:rsidRPr="008438D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DF21DF" w:rsidRPr="008438D8" w14:paraId="098BB9DE" w14:textId="77777777" w:rsidTr="000E4A55">
        <w:trPr>
          <w:trHeight w:val="360"/>
        </w:trPr>
        <w:tc>
          <w:tcPr>
            <w:tcW w:w="4678" w:type="dxa"/>
            <w:tcBorders>
              <w:right w:val="nil"/>
            </w:tcBorders>
            <w:vAlign w:val="center"/>
          </w:tcPr>
          <w:p w14:paraId="2093E0D7" w14:textId="77777777" w:rsidR="00DF21DF" w:rsidRPr="008438D8" w:rsidRDefault="00DF21DF" w:rsidP="00A12370">
            <w:pPr>
              <w:spacing w:before="0" w:line="240" w:lineRule="auto"/>
              <w:contextualSpacing/>
            </w:pPr>
            <w:proofErr w:type="spellStart"/>
            <w:r w:rsidRPr="008438D8">
              <w:t>Authorisation</w:t>
            </w:r>
            <w:proofErr w:type="spellEnd"/>
            <w:r w:rsidRPr="008438D8">
              <w:t xml:space="preserve"> no.:</w:t>
            </w:r>
            <w:r w:rsidRPr="008438D8">
              <w:br/>
            </w:r>
            <w:r w:rsidRPr="008438D8">
              <w:rPr>
                <w:i/>
                <w:sz w:val="16"/>
              </w:rPr>
              <w:t>If known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64256475" w14:textId="77777777" w:rsidR="00DF21DF" w:rsidRPr="008438D8" w:rsidRDefault="002C4A1F" w:rsidP="00A12370">
            <w:pPr>
              <w:spacing w:before="0" w:line="240" w:lineRule="auto"/>
            </w:pPr>
            <w:sdt>
              <w:sdtPr>
                <w:id w:val="-892268914"/>
                <w:placeholder>
                  <w:docPart w:val="631F1C4C1D274AB5829112B75D24F70F"/>
                </w:placeholder>
                <w:temporary/>
                <w:showingPlcHdr/>
                <w:text w:multiLine="1"/>
              </w:sdtPr>
              <w:sdtEndPr/>
              <w:sdtContent>
                <w:r w:rsidR="00DF21DF" w:rsidRPr="008438D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DF21DF" w:rsidRPr="008438D8" w14:paraId="10491EF6" w14:textId="77777777" w:rsidTr="000E4A55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50663990" w14:textId="77777777" w:rsidR="00DF21DF" w:rsidRPr="008438D8" w:rsidRDefault="00DF21DF" w:rsidP="00A12370">
            <w:pPr>
              <w:spacing w:before="0" w:line="240" w:lineRule="auto"/>
              <w:contextualSpacing/>
            </w:pPr>
            <w:r w:rsidRPr="008438D8">
              <w:t>Application ID:</w:t>
            </w:r>
          </w:p>
          <w:p w14:paraId="7CBB20D3" w14:textId="77777777" w:rsidR="00DF21DF" w:rsidRPr="008438D8" w:rsidRDefault="00DF21DF" w:rsidP="00A12370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 w:rsidRPr="008438D8">
              <w:rPr>
                <w:i/>
                <w:sz w:val="16"/>
              </w:rPr>
              <w:t>If known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31E744DA" w14:textId="77777777" w:rsidR="00DF21DF" w:rsidRPr="008438D8" w:rsidRDefault="002C4A1F" w:rsidP="00A12370">
            <w:pPr>
              <w:spacing w:before="0" w:line="240" w:lineRule="auto"/>
            </w:pPr>
            <w:sdt>
              <w:sdtPr>
                <w:id w:val="1379053578"/>
                <w:placeholder>
                  <w:docPart w:val="C2ADA7B78181423DA9AAB5F615A29BC3"/>
                </w:placeholder>
                <w:temporary/>
                <w:showingPlcHdr/>
                <w:text w:multiLine="1"/>
              </w:sdtPr>
              <w:sdtEndPr/>
              <w:sdtContent>
                <w:r w:rsidR="00DF21DF" w:rsidRPr="008438D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DF21DF" w:rsidRPr="008438D8" w14:paraId="4ED85A36" w14:textId="77777777" w:rsidTr="000E4A55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60358CF2" w14:textId="77777777" w:rsidR="00DF21DF" w:rsidRPr="008438D8" w:rsidRDefault="00DF21DF" w:rsidP="00A12370">
            <w:pPr>
              <w:spacing w:before="0"/>
              <w:contextualSpacing/>
            </w:pPr>
            <w:r w:rsidRPr="008438D8">
              <w:t>Date: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016D07FE" w14:textId="77777777" w:rsidR="00DF21DF" w:rsidRPr="008438D8" w:rsidRDefault="002C4A1F" w:rsidP="00A12370">
            <w:pPr>
              <w:spacing w:before="0"/>
            </w:pPr>
            <w:sdt>
              <w:sdtPr>
                <w:id w:val="-1521696663"/>
                <w:placeholder>
                  <w:docPart w:val="E208C66AEED44903A5951308AEE996E2"/>
                </w:placeholder>
                <w:temporary/>
                <w:showingPlcHdr/>
                <w:text w:multiLine="1"/>
              </w:sdtPr>
              <w:sdtEndPr/>
              <w:sdtContent>
                <w:r w:rsidR="00DF21DF" w:rsidRPr="008438D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5D09B9A2" w14:textId="77777777" w:rsidR="00DF21DF" w:rsidRPr="008438D8" w:rsidRDefault="00DF21DF" w:rsidP="00DF21DF">
      <w:pPr>
        <w:pStyle w:val="berschrift1"/>
        <w:rPr>
          <w:szCs w:val="24"/>
        </w:rPr>
      </w:pPr>
      <w:r w:rsidRPr="008438D8">
        <w:t>Further information</w:t>
      </w:r>
    </w:p>
    <w:p w14:paraId="5923765C" w14:textId="77777777" w:rsidR="00DF21DF" w:rsidRPr="008438D8" w:rsidRDefault="00DF21DF" w:rsidP="00DF21DF">
      <w:r w:rsidRPr="008438D8">
        <w:t xml:space="preserve">Please state the </w:t>
      </w:r>
      <w:r w:rsidRPr="008438D8">
        <w:rPr>
          <w:b/>
        </w:rPr>
        <w:t>structured and complete quantitative composition of the medicinal product:</w:t>
      </w:r>
    </w:p>
    <w:p w14:paraId="40808096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 w:rsidRPr="008438D8">
        <w:t xml:space="preserve">The following priorities apply to the substance names: DCI/INN, Ph. Eur., Ph. </w:t>
      </w:r>
      <w:proofErr w:type="spellStart"/>
      <w:r w:rsidRPr="008438D8">
        <w:t>Helv</w:t>
      </w:r>
      <w:proofErr w:type="spellEnd"/>
      <w:r w:rsidRPr="008438D8">
        <w:t xml:space="preserve">., other national pharmacopoeias, internationally </w:t>
      </w:r>
      <w:proofErr w:type="spellStart"/>
      <w:r w:rsidRPr="008438D8">
        <w:t>recognised</w:t>
      </w:r>
      <w:proofErr w:type="spellEnd"/>
      <w:r w:rsidRPr="008438D8">
        <w:t xml:space="preserve"> names (</w:t>
      </w:r>
      <w:proofErr w:type="gramStart"/>
      <w:r w:rsidRPr="008438D8">
        <w:t>e.g.</w:t>
      </w:r>
      <w:proofErr w:type="gramEnd"/>
      <w:r w:rsidRPr="008438D8">
        <w:t xml:space="preserve"> USAN, BAN, CTFA, etc.), scientific (systematic) names. Trade names should be stated only as additional information.</w:t>
      </w:r>
    </w:p>
    <w:p w14:paraId="1CD1DA2E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 w:rsidRPr="008438D8">
        <w:t>For salts of chemical synthetic active substances (free acids or bases) and hydrate forms, the active principle should also be declared.</w:t>
      </w:r>
    </w:p>
    <w:p w14:paraId="39ABC877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 w:rsidRPr="008438D8">
        <w:t>For biological substances, the starting material should be stated.</w:t>
      </w:r>
    </w:p>
    <w:p w14:paraId="0E364816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 w:rsidRPr="008438D8">
        <w:t xml:space="preserve">For herbal substances and preparations, the botanical name of the primary plant and the plant part used should be stated. </w:t>
      </w:r>
    </w:p>
    <w:p w14:paraId="53783913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 w:rsidRPr="008438D8">
        <w:t xml:space="preserve">Herbal extracts should be declared according to the Ph. Eur. monograph "Plantarum </w:t>
      </w:r>
      <w:proofErr w:type="spellStart"/>
      <w:r w:rsidRPr="008438D8">
        <w:t>medicinalium</w:t>
      </w:r>
      <w:proofErr w:type="spellEnd"/>
      <w:r w:rsidRPr="008438D8">
        <w:t xml:space="preserve"> </w:t>
      </w:r>
      <w:proofErr w:type="spellStart"/>
      <w:r w:rsidRPr="008438D8">
        <w:t>extracta</w:t>
      </w:r>
      <w:proofErr w:type="spellEnd"/>
      <w:r w:rsidRPr="008438D8">
        <w:t>".</w:t>
      </w:r>
    </w:p>
    <w:p w14:paraId="463279E0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 w:rsidRPr="008438D8">
        <w:t>Active substances in Asian medicinal products should be declared with the pharmaceutical name and the name commonly used in the relevant specialist field (</w:t>
      </w:r>
      <w:proofErr w:type="gramStart"/>
      <w:r w:rsidRPr="008438D8">
        <w:t>e.g.</w:t>
      </w:r>
      <w:proofErr w:type="gramEnd"/>
      <w:r w:rsidRPr="008438D8">
        <w:t xml:space="preserve"> Pin-Yin name for Chinese medicinal products).</w:t>
      </w:r>
    </w:p>
    <w:p w14:paraId="197A5667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 w:rsidRPr="008438D8">
        <w:t>Active substances in transplant products / for gene therapy and for treatments with genetically modified organisms should be declared with the following additional details:</w:t>
      </w:r>
    </w:p>
    <w:p w14:paraId="05516099" w14:textId="77777777" w:rsidR="00DF21DF" w:rsidRPr="008438D8" w:rsidRDefault="00DF21DF" w:rsidP="00DF21DF">
      <w:pPr>
        <w:pStyle w:val="AufzhlungKstchen"/>
        <w:numPr>
          <w:ilvl w:val="0"/>
          <w:numId w:val="0"/>
        </w:numPr>
        <w:ind w:left="360"/>
      </w:pPr>
      <w:r w:rsidRPr="008438D8">
        <w:t>Source and type of virus, cell and tissue, (</w:t>
      </w:r>
      <w:proofErr w:type="gramStart"/>
      <w:r w:rsidRPr="008438D8">
        <w:t>e.g.</w:t>
      </w:r>
      <w:proofErr w:type="gramEnd"/>
      <w:r w:rsidRPr="008438D8">
        <w:t xml:space="preserve"> chondrocytes, intestinal cells, etc.).</w:t>
      </w:r>
    </w:p>
    <w:p w14:paraId="1DF38362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 w:rsidRPr="008438D8">
        <w:t>The active substance quantities should be stated as nominal values, while manufacturing and stability overages or overfills should be listed only as additional information.</w:t>
      </w:r>
    </w:p>
    <w:p w14:paraId="22040A1D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 w:rsidRPr="008438D8">
        <w:t>The function of all excipients must be stated.</w:t>
      </w:r>
    </w:p>
    <w:p w14:paraId="1004C744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>
        <w:t xml:space="preserve">For composite </w:t>
      </w:r>
      <w:proofErr w:type="spellStart"/>
      <w:r>
        <w:t>flavours</w:t>
      </w:r>
      <w:proofErr w:type="spellEnd"/>
      <w:r>
        <w:t xml:space="preserve"> and fragrances (aromatic substances)</w:t>
      </w:r>
      <w:r w:rsidRPr="008438D8">
        <w:t xml:space="preserve"> in human medicinal products, the qualitative composition should be stated in addition to the trade name (for excipients of particular interest, quantities should also be </w:t>
      </w:r>
      <w:proofErr w:type="gramStart"/>
      <w:r w:rsidRPr="008438D8">
        <w:t>stated</w:t>
      </w:r>
      <w:proofErr w:type="gramEnd"/>
      <w:r w:rsidRPr="008438D8">
        <w:t xml:space="preserve"> if possible, as per Annex 3a TPLRO).</w:t>
      </w:r>
    </w:p>
    <w:p w14:paraId="225D2F2E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 w:rsidRPr="008438D8">
        <w:t>If there are grounds for secrecy, the composition of these mixtures may also be provided directly by the manufacturer. This must be mentioned in the cover letter.</w:t>
      </w:r>
    </w:p>
    <w:p w14:paraId="6BE7C961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 w:rsidRPr="008438D8">
        <w:t>For other excipient mixtures, specify the quantitative composition.</w:t>
      </w:r>
    </w:p>
    <w:p w14:paraId="36258DFE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 w:rsidRPr="008438D8">
        <w:t>For excipients of particular interest according to Annex 3a TPLRO, the total quantity per dose/unit should also be stated if applicable (</w:t>
      </w:r>
      <w:proofErr w:type="gramStart"/>
      <w:r w:rsidRPr="008438D8">
        <w:t>e.g.</w:t>
      </w:r>
      <w:proofErr w:type="gramEnd"/>
      <w:r w:rsidRPr="008438D8">
        <w:t xml:space="preserve"> the total sodium content per tablet).</w:t>
      </w:r>
    </w:p>
    <w:p w14:paraId="59C51792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 w:rsidRPr="008438D8">
        <w:lastRenderedPageBreak/>
        <w:t xml:space="preserve">Active substances manufactured according to a homeopathic manufacturing process should be listed in accordance with Ann. 1a no. 1, para. 1 let. e, nos. 1 and 2, and Ann. 1a no. 1, paras. 2 and 3 TPLRO. The clarifications in the guidance document </w:t>
      </w:r>
      <w:proofErr w:type="spellStart"/>
      <w:r w:rsidRPr="008438D8">
        <w:rPr>
          <w:i/>
        </w:rPr>
        <w:t>Authorisation</w:t>
      </w:r>
      <w:proofErr w:type="spellEnd"/>
      <w:r w:rsidRPr="008438D8">
        <w:rPr>
          <w:i/>
        </w:rPr>
        <w:t xml:space="preserve"> of </w:t>
      </w:r>
      <w:proofErr w:type="spellStart"/>
      <w:r w:rsidRPr="008438D8">
        <w:rPr>
          <w:i/>
        </w:rPr>
        <w:t>homeopathics</w:t>
      </w:r>
      <w:proofErr w:type="spellEnd"/>
      <w:r w:rsidRPr="008438D8">
        <w:rPr>
          <w:i/>
        </w:rPr>
        <w:t xml:space="preserve">, </w:t>
      </w:r>
      <w:proofErr w:type="spellStart"/>
      <w:r w:rsidRPr="008438D8">
        <w:rPr>
          <w:i/>
        </w:rPr>
        <w:t>anthroposophics</w:t>
      </w:r>
      <w:proofErr w:type="spellEnd"/>
      <w:r w:rsidRPr="008438D8">
        <w:rPr>
          <w:i/>
        </w:rPr>
        <w:t xml:space="preserve"> and other complementary medicines HMV4</w:t>
      </w:r>
      <w:r w:rsidRPr="008438D8">
        <w:t xml:space="preserve"> should be noted.</w:t>
      </w:r>
    </w:p>
    <w:p w14:paraId="7926351F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 w:rsidRPr="008438D8">
        <w:t>For medicinal products containing active substances manufactured according to a homeopathic manufacturing process, the vehicles or excipients used during manufacture/</w:t>
      </w:r>
      <w:proofErr w:type="spellStart"/>
      <w:r w:rsidRPr="008438D8">
        <w:t>potentisation</w:t>
      </w:r>
      <w:proofErr w:type="spellEnd"/>
      <w:r w:rsidRPr="008438D8">
        <w:t xml:space="preserve"> (</w:t>
      </w:r>
      <w:proofErr w:type="gramStart"/>
      <w:r w:rsidRPr="008438D8">
        <w:t>e.g.</w:t>
      </w:r>
      <w:proofErr w:type="gramEnd"/>
      <w:r w:rsidRPr="008438D8">
        <w:t xml:space="preserve"> ethanol, water, lactose monohydrate, glycerol) and accounting for at least 1% of the finished product should be listed separately under the heading "Contents from manufacture/</w:t>
      </w:r>
      <w:proofErr w:type="spellStart"/>
      <w:r w:rsidRPr="008438D8">
        <w:t>potentisation</w:t>
      </w:r>
      <w:proofErr w:type="spellEnd"/>
      <w:r w:rsidRPr="008438D8">
        <w:t xml:space="preserve">". In the case of </w:t>
      </w:r>
      <w:proofErr w:type="spellStart"/>
      <w:r w:rsidRPr="008438D8">
        <w:t>potentisation</w:t>
      </w:r>
      <w:proofErr w:type="spellEnd"/>
      <w:r w:rsidRPr="008438D8">
        <w:t xml:space="preserve"> with an </w:t>
      </w:r>
      <w:proofErr w:type="spellStart"/>
      <w:r w:rsidRPr="008438D8">
        <w:t>isotonising</w:t>
      </w:r>
      <w:proofErr w:type="spellEnd"/>
      <w:r w:rsidRPr="008438D8">
        <w:t xml:space="preserve"> agent, the sodium-containing substances contained therein must also be listed, regardless of the quantity. Excipients for the pharmaceutical form must be listed separately.</w:t>
      </w:r>
    </w:p>
    <w:p w14:paraId="49D0D47B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 w:rsidRPr="008438D8">
        <w:t xml:space="preserve">In the case of </w:t>
      </w:r>
      <w:proofErr w:type="spellStart"/>
      <w:r w:rsidRPr="008438D8">
        <w:t>anthroposophic</w:t>
      </w:r>
      <w:proofErr w:type="spellEnd"/>
      <w:r w:rsidRPr="008438D8">
        <w:t xml:space="preserve"> medicinal products, active substances that are derived from plant-based starting materials but not manufactured according to a homeopathic process, or for which the homeopathic section of a pharmacopoeia contains no manufacturing instructions, must be declared in accordance with the requirements for herbal substances and preparations.</w:t>
      </w:r>
    </w:p>
    <w:p w14:paraId="6B745403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 w:rsidRPr="008438D8">
        <w:t>For transplant products / for gene therapy and for treatments with genetically modified organisms, the excipients should be declared as follows:</w:t>
      </w:r>
    </w:p>
    <w:p w14:paraId="68C7F56B" w14:textId="77777777" w:rsidR="00DF21DF" w:rsidRPr="008438D8" w:rsidRDefault="00DF21DF" w:rsidP="00DF21DF">
      <w:pPr>
        <w:pStyle w:val="AufzhlungKstchen"/>
        <w:numPr>
          <w:ilvl w:val="0"/>
          <w:numId w:val="0"/>
        </w:numPr>
        <w:ind w:left="360"/>
      </w:pPr>
      <w:r w:rsidRPr="008438D8">
        <w:t>All substances that may remain in the ready-to-use product must be listed (</w:t>
      </w:r>
      <w:proofErr w:type="gramStart"/>
      <w:r w:rsidRPr="008438D8">
        <w:t>e.g.</w:t>
      </w:r>
      <w:proofErr w:type="gramEnd"/>
      <w:r w:rsidRPr="008438D8">
        <w:t xml:space="preserve"> cytokines, growth factors, antibiotics), incl. reagents and cell culture media (all components to be stated precisely). As far as possible, all substances must be classified according to their function.</w:t>
      </w:r>
    </w:p>
    <w:p w14:paraId="5A1EED4D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 w:rsidRPr="008438D8">
        <w:t>For alcohol-containing medicinal products for oral administration, the alcohol content in the finished product should be stated in percent by volume.</w:t>
      </w:r>
    </w:p>
    <w:p w14:paraId="6F827E3C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 w:rsidRPr="008438D8">
        <w:t>For preparations with multi-chamber bags, the information should be stated for each bag compartment and compartment size. In addition, the constituents and quantities of the resulting mixed bag can also be stated.</w:t>
      </w:r>
    </w:p>
    <w:p w14:paraId="7C31A6C6" w14:textId="77777777" w:rsidR="00DF21DF" w:rsidRPr="008438D8" w:rsidRDefault="00DF21DF" w:rsidP="00DF21DF">
      <w:pPr>
        <w:pStyle w:val="AufzhlungKstchen"/>
        <w:spacing w:line="260" w:lineRule="atLeast"/>
        <w:contextualSpacing/>
      </w:pPr>
      <w:r w:rsidRPr="008438D8">
        <w:t>If known, and in addition to the substance name, a standard substance code can also be stated (</w:t>
      </w:r>
      <w:proofErr w:type="gramStart"/>
      <w:r w:rsidRPr="008438D8">
        <w:t>e.g.</w:t>
      </w:r>
      <w:proofErr w:type="gramEnd"/>
      <w:r w:rsidRPr="008438D8">
        <w:t xml:space="preserve"> Unique Ingredient Identifier [UNII], </w:t>
      </w:r>
      <w:proofErr w:type="spellStart"/>
      <w:r w:rsidRPr="008438D8">
        <w:t>EudraVigilance</w:t>
      </w:r>
      <w:proofErr w:type="spellEnd"/>
      <w:r w:rsidRPr="008438D8">
        <w:t xml:space="preserve"> Substance Code [EV Code] or the Chemical Abstracts Service Registry Number [CAS no.]).</w:t>
      </w:r>
    </w:p>
    <w:p w14:paraId="17D7F830" w14:textId="77777777" w:rsidR="00DF21DF" w:rsidRPr="008438D8" w:rsidRDefault="00DF21DF" w:rsidP="00DF21DF"/>
    <w:p w14:paraId="5358FF76" w14:textId="77777777" w:rsidR="00DF21DF" w:rsidRPr="008438D8" w:rsidRDefault="00DF21DF" w:rsidP="00DF21DF">
      <w:bookmarkStart w:id="1" w:name="EndeFormular"/>
      <w:r w:rsidRPr="008438D8">
        <w:t>All dosage strengths of the medicinal product should be stated in one form.</w:t>
      </w:r>
      <w:bookmarkEnd w:id="1"/>
    </w:p>
    <w:p w14:paraId="184D2A49" w14:textId="77777777" w:rsidR="00DF21DF" w:rsidRPr="008438D8" w:rsidRDefault="00DF21DF" w:rsidP="00DF21DF"/>
    <w:p w14:paraId="635BF2E2" w14:textId="77777777" w:rsidR="00DF21DF" w:rsidRPr="008438D8" w:rsidRDefault="00DF21DF" w:rsidP="00DF21DF"/>
    <w:p w14:paraId="5981A310" w14:textId="77777777" w:rsidR="00DF21DF" w:rsidRPr="008438D8" w:rsidRDefault="00DF21DF" w:rsidP="00DF21DF">
      <w:pPr>
        <w:pStyle w:val="berschrift2"/>
      </w:pPr>
      <w:r w:rsidRPr="008438D8">
        <w:t>Composition</w:t>
      </w:r>
    </w:p>
    <w:p w14:paraId="5D598A48" w14:textId="77777777" w:rsidR="00DF21DF" w:rsidRPr="008438D8" w:rsidRDefault="00DF21DF" w:rsidP="00DF21DF"/>
    <w:p w14:paraId="4F1AD475" w14:textId="77777777" w:rsidR="00DF21DF" w:rsidRPr="008438D8" w:rsidRDefault="00DF21DF" w:rsidP="00DF21DF"/>
    <w:p w14:paraId="5C0B1FC4" w14:textId="31CE84E3" w:rsidR="00DF21DF" w:rsidRDefault="00DF21DF" w:rsidP="00871A64">
      <w:pPr>
        <w:pStyle w:val="berschrift2"/>
        <w:rPr>
          <w:lang w:val="en-GB"/>
        </w:rPr>
      </w:pPr>
      <w:r w:rsidRPr="008438D8">
        <w:t xml:space="preserve">Calculation of the </w:t>
      </w:r>
      <w:proofErr w:type="gramStart"/>
      <w:r w:rsidRPr="008438D8">
        <w:t>amount</w:t>
      </w:r>
      <w:proofErr w:type="gramEnd"/>
      <w:r w:rsidRPr="008438D8">
        <w:t xml:space="preserve"> of excipients of particular interest in human medicinal products</w:t>
      </w:r>
    </w:p>
    <w:p w14:paraId="21AEE10A" w14:textId="303428B9" w:rsidR="007C059E" w:rsidRDefault="00CD0790" w:rsidP="00DF21DF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26BCC3D4" w14:textId="1431CD44" w:rsidR="00C87E71" w:rsidRDefault="00C87E71" w:rsidP="007C059E">
      <w:pPr>
        <w:pStyle w:val="Inhaltsverzeichnisberschrift"/>
      </w:pPr>
      <w:r w:rsidRPr="00EE5AB5">
        <w:lastRenderedPageBreak/>
        <w:t xml:space="preserve">Change </w:t>
      </w:r>
      <w:proofErr w:type="spellStart"/>
      <w:r w:rsidRPr="00EE5AB5">
        <w:t>history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C87E71" w:rsidRPr="00EB7606" w14:paraId="5C42C200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2B158B5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58A4F689" w14:textId="77777777" w:rsidR="00C87E71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B92DD5B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C87E71" w:rsidRPr="003C6EF7" w14:paraId="378BAA4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81960F5" w14:textId="7BA66CDF" w:rsidR="00C87E71" w:rsidRPr="003C6EF7" w:rsidRDefault="00DF21DF" w:rsidP="006A165E">
            <w:r>
              <w:t>3.3</w:t>
            </w:r>
          </w:p>
        </w:tc>
        <w:tc>
          <w:tcPr>
            <w:tcW w:w="7371" w:type="dxa"/>
          </w:tcPr>
          <w:p w14:paraId="50A93A25" w14:textId="2CBA7132" w:rsidR="00C87E71" w:rsidRPr="003C6EF7" w:rsidRDefault="0046083F" w:rsidP="006A165E">
            <w:r w:rsidRPr="0046083F">
              <w:t>New layout, no content adjustments to the previous version.</w:t>
            </w:r>
          </w:p>
        </w:tc>
        <w:tc>
          <w:tcPr>
            <w:tcW w:w="1134" w:type="dxa"/>
          </w:tcPr>
          <w:p w14:paraId="07287E8D" w14:textId="00ECF4D6" w:rsidR="00C87E71" w:rsidRPr="003C6EF7" w:rsidRDefault="0046083F" w:rsidP="006A165E">
            <w:proofErr w:type="spellStart"/>
            <w:r>
              <w:t>dei</w:t>
            </w:r>
            <w:proofErr w:type="spellEnd"/>
          </w:p>
        </w:tc>
      </w:tr>
      <w:tr w:rsidR="00DF21DF" w:rsidRPr="003C6EF7" w14:paraId="323E4A3D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701A7816" w14:textId="31755501" w:rsidR="00DF21DF" w:rsidRPr="003C6EF7" w:rsidRDefault="00DF21DF" w:rsidP="00DF21DF">
            <w:r>
              <w:t>3.2</w:t>
            </w:r>
          </w:p>
        </w:tc>
        <w:tc>
          <w:tcPr>
            <w:tcW w:w="7371" w:type="dxa"/>
          </w:tcPr>
          <w:p w14:paraId="427DC89F" w14:textId="163750C7" w:rsidR="00DF21DF" w:rsidRPr="0046083F" w:rsidRDefault="00DF21DF" w:rsidP="00DF21DF">
            <w:r w:rsidRPr="00720CF9">
              <w:t>Correction in</w:t>
            </w:r>
            <w:r>
              <w:t xml:space="preserve"> EN</w:t>
            </w:r>
            <w:r w:rsidRPr="00720CF9">
              <w:t xml:space="preserve"> translation for bullet point 10 on page 2 (</w:t>
            </w:r>
            <w:r>
              <w:t>section</w:t>
            </w:r>
            <w:r w:rsidRPr="00720CF9">
              <w:t xml:space="preserve"> 2): from «</w:t>
            </w:r>
            <w:r w:rsidRPr="00A112FD">
              <w:t xml:space="preserve">combined </w:t>
            </w:r>
            <w:proofErr w:type="spellStart"/>
            <w:r w:rsidRPr="00A112FD">
              <w:t>colourants</w:t>
            </w:r>
            <w:proofErr w:type="spellEnd"/>
            <w:r w:rsidRPr="00A112FD">
              <w:t xml:space="preserve"> and aromatic substances</w:t>
            </w:r>
            <w:r>
              <w:t>”</w:t>
            </w:r>
            <w:r w:rsidRPr="00720CF9">
              <w:t xml:space="preserve"> to «for composite </w:t>
            </w:r>
            <w:proofErr w:type="spellStart"/>
            <w:r w:rsidRPr="00720CF9">
              <w:t>flavours</w:t>
            </w:r>
            <w:proofErr w:type="spellEnd"/>
            <w:r w:rsidRPr="00720CF9">
              <w:t xml:space="preserve"> and fragrances (aromatic </w:t>
            </w:r>
            <w:proofErr w:type="gramStart"/>
            <w:r w:rsidRPr="00720CF9">
              <w:t>substances)»</w:t>
            </w:r>
            <w:proofErr w:type="gramEnd"/>
            <w:r w:rsidRPr="00720CF9">
              <w:t>.</w:t>
            </w:r>
          </w:p>
        </w:tc>
        <w:tc>
          <w:tcPr>
            <w:tcW w:w="1134" w:type="dxa"/>
          </w:tcPr>
          <w:p w14:paraId="6E865380" w14:textId="4E615601" w:rsidR="00DF21DF" w:rsidRDefault="00DF21DF" w:rsidP="00DF21DF">
            <w:proofErr w:type="spellStart"/>
            <w:r>
              <w:t>stb</w:t>
            </w:r>
            <w:proofErr w:type="spellEnd"/>
          </w:p>
        </w:tc>
      </w:tr>
      <w:tr w:rsidR="00DF21DF" w:rsidRPr="003C6EF7" w14:paraId="4855E09F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62238AE" w14:textId="0589A46E" w:rsidR="00DF21DF" w:rsidRPr="003C6EF7" w:rsidRDefault="00DF21DF" w:rsidP="00DF21DF">
            <w:r>
              <w:t>3.1</w:t>
            </w:r>
          </w:p>
        </w:tc>
        <w:tc>
          <w:tcPr>
            <w:tcW w:w="7371" w:type="dxa"/>
          </w:tcPr>
          <w:p w14:paraId="09E5364B" w14:textId="0DDCE680" w:rsidR="00DF21DF" w:rsidRPr="0046083F" w:rsidRDefault="00DF21DF" w:rsidP="00DF21DF">
            <w:r w:rsidRPr="008438D8">
              <w:t>Clarification explaining that the information in section 2.2 is required only for human medicinal products (and not for veterinary medicinal products as well).</w:t>
            </w:r>
          </w:p>
        </w:tc>
        <w:tc>
          <w:tcPr>
            <w:tcW w:w="1134" w:type="dxa"/>
          </w:tcPr>
          <w:p w14:paraId="39608EDF" w14:textId="3C9D6CFA" w:rsidR="00DF21DF" w:rsidRDefault="00DF21DF" w:rsidP="00DF21DF">
            <w:proofErr w:type="spellStart"/>
            <w:r>
              <w:t>stb</w:t>
            </w:r>
            <w:proofErr w:type="spellEnd"/>
          </w:p>
        </w:tc>
      </w:tr>
      <w:tr w:rsidR="00DF21DF" w:rsidRPr="003C6EF7" w14:paraId="665D2023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3A280D29" w14:textId="33F5335A" w:rsidR="00DF21DF" w:rsidRPr="003C6EF7" w:rsidRDefault="00DF21DF" w:rsidP="00DF21DF">
            <w:r>
              <w:t>3.0</w:t>
            </w:r>
          </w:p>
        </w:tc>
        <w:tc>
          <w:tcPr>
            <w:tcW w:w="7371" w:type="dxa"/>
          </w:tcPr>
          <w:p w14:paraId="2D8DB749" w14:textId="152D63CF" w:rsidR="00DF21DF" w:rsidRPr="0046083F" w:rsidRDefault="00DF21DF" w:rsidP="00DF21DF">
            <w:r w:rsidRPr="008438D8">
              <w:t xml:space="preserve">Inclusion of a sub-section for the calculation of the </w:t>
            </w:r>
            <w:proofErr w:type="gramStart"/>
            <w:r w:rsidRPr="008438D8">
              <w:t>amount</w:t>
            </w:r>
            <w:proofErr w:type="gramEnd"/>
            <w:r w:rsidRPr="008438D8">
              <w:t xml:space="preserve"> of excipients of particular interest</w:t>
            </w:r>
          </w:p>
        </w:tc>
        <w:tc>
          <w:tcPr>
            <w:tcW w:w="1134" w:type="dxa"/>
          </w:tcPr>
          <w:p w14:paraId="30BD39BF" w14:textId="766DD9F7" w:rsidR="00DF21DF" w:rsidRDefault="00DF21DF" w:rsidP="00DF21DF">
            <w:proofErr w:type="spellStart"/>
            <w:r>
              <w:t>nma</w:t>
            </w:r>
            <w:proofErr w:type="spellEnd"/>
          </w:p>
        </w:tc>
      </w:tr>
      <w:tr w:rsidR="00DF21DF" w:rsidRPr="003C6EF7" w14:paraId="705D00E0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46C8355E" w14:textId="7156A71F" w:rsidR="00DF21DF" w:rsidRPr="003C6EF7" w:rsidRDefault="00DF21DF" w:rsidP="00DF21DF">
            <w:r>
              <w:t>2.0</w:t>
            </w:r>
          </w:p>
        </w:tc>
        <w:tc>
          <w:tcPr>
            <w:tcW w:w="7371" w:type="dxa"/>
          </w:tcPr>
          <w:p w14:paraId="09B4321D" w14:textId="0EB63EB8" w:rsidR="00DF21DF" w:rsidRPr="0046083F" w:rsidRDefault="00DF21DF" w:rsidP="00DF21DF">
            <w:r w:rsidRPr="008438D8">
              <w:t xml:space="preserve">Clarification of declaration requirements for </w:t>
            </w:r>
            <w:proofErr w:type="spellStart"/>
            <w:r w:rsidRPr="008438D8">
              <w:t>homeopathics</w:t>
            </w:r>
            <w:proofErr w:type="spellEnd"/>
            <w:r w:rsidRPr="008438D8">
              <w:t xml:space="preserve"> and </w:t>
            </w:r>
            <w:proofErr w:type="spellStart"/>
            <w:r w:rsidRPr="008438D8">
              <w:t>anthroposophics</w:t>
            </w:r>
            <w:proofErr w:type="spellEnd"/>
          </w:p>
        </w:tc>
        <w:tc>
          <w:tcPr>
            <w:tcW w:w="1134" w:type="dxa"/>
          </w:tcPr>
          <w:p w14:paraId="60F349A4" w14:textId="4FBD9233" w:rsidR="00DF21DF" w:rsidRDefault="00DF21DF" w:rsidP="00DF21DF">
            <w:proofErr w:type="spellStart"/>
            <w:r>
              <w:t>spm</w:t>
            </w:r>
            <w:proofErr w:type="spellEnd"/>
          </w:p>
        </w:tc>
      </w:tr>
      <w:tr w:rsidR="00DF21DF" w:rsidRPr="003C6EF7" w14:paraId="2FB54BAD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3B6CEAF6" w14:textId="637457B0" w:rsidR="00DF21DF" w:rsidRPr="003C6EF7" w:rsidRDefault="00DF21DF" w:rsidP="00DF21DF">
            <w:r>
              <w:t>1.2</w:t>
            </w:r>
          </w:p>
        </w:tc>
        <w:tc>
          <w:tcPr>
            <w:tcW w:w="7371" w:type="dxa"/>
          </w:tcPr>
          <w:p w14:paraId="5C7EBC80" w14:textId="3C1891FB" w:rsidR="00DF21DF" w:rsidRPr="0046083F" w:rsidRDefault="00DF21DF" w:rsidP="00DF21DF">
            <w:r w:rsidRPr="008438D8">
              <w:t xml:space="preserve">Clarification in section 2 ("Further information"): If, for combinations of </w:t>
            </w:r>
            <w:proofErr w:type="spellStart"/>
            <w:r w:rsidRPr="008438D8">
              <w:t>colourants</w:t>
            </w:r>
            <w:proofErr w:type="spellEnd"/>
            <w:r w:rsidRPr="008438D8">
              <w:t xml:space="preserve"> and aromatic substances of special interest, it is not possible in individual cases to state quantities as per Annex 3a TPLRO, then a qualitative statement is accepted.</w:t>
            </w:r>
          </w:p>
        </w:tc>
        <w:tc>
          <w:tcPr>
            <w:tcW w:w="1134" w:type="dxa"/>
          </w:tcPr>
          <w:p w14:paraId="0512723D" w14:textId="573C21C9" w:rsidR="00DF21DF" w:rsidRDefault="00DF21DF" w:rsidP="00DF21DF">
            <w:proofErr w:type="spellStart"/>
            <w:r>
              <w:t>dts</w:t>
            </w:r>
            <w:proofErr w:type="spellEnd"/>
          </w:p>
        </w:tc>
      </w:tr>
      <w:tr w:rsidR="00DF21DF" w:rsidRPr="003C6EF7" w14:paraId="1FE417A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45CB9972" w14:textId="3B298F0A" w:rsidR="00DF21DF" w:rsidRPr="003C6EF7" w:rsidRDefault="00DF21DF" w:rsidP="00DF21DF">
            <w:r>
              <w:t>1.1</w:t>
            </w:r>
          </w:p>
        </w:tc>
        <w:tc>
          <w:tcPr>
            <w:tcW w:w="7371" w:type="dxa"/>
          </w:tcPr>
          <w:p w14:paraId="2CE3752E" w14:textId="77777777" w:rsidR="00DF21DF" w:rsidRPr="008438D8" w:rsidRDefault="00DF21DF" w:rsidP="00DF21DF">
            <w:pPr>
              <w:ind w:left="-108"/>
              <w:rPr>
                <w:szCs w:val="18"/>
              </w:rPr>
            </w:pPr>
            <w:r w:rsidRPr="008438D8">
              <w:t>Section 2 (Further information):</w:t>
            </w:r>
          </w:p>
          <w:p w14:paraId="2D132567" w14:textId="77777777" w:rsidR="00DF21DF" w:rsidRPr="008438D8" w:rsidRDefault="00DF21DF" w:rsidP="00DF21DF">
            <w:pPr>
              <w:ind w:left="-108"/>
              <w:rPr>
                <w:szCs w:val="18"/>
              </w:rPr>
            </w:pPr>
            <w:r w:rsidRPr="008438D8">
              <w:t>Linguistic clarifications</w:t>
            </w:r>
          </w:p>
          <w:p w14:paraId="528EA307" w14:textId="77777777" w:rsidR="00DF21DF" w:rsidRPr="008438D8" w:rsidRDefault="00DF21DF" w:rsidP="00DF21DF">
            <w:pPr>
              <w:pStyle w:val="AufzhlungKstchen"/>
              <w:spacing w:line="260" w:lineRule="atLeast"/>
              <w:contextualSpacing/>
              <w:rPr>
                <w:szCs w:val="18"/>
              </w:rPr>
            </w:pPr>
            <w:r w:rsidRPr="008438D8">
              <w:t>Additional information: For excipients of particular interest according to Annex 3a TPLRO, the total quantity per dose/unit should also be stated if applicable (</w:t>
            </w:r>
            <w:proofErr w:type="gramStart"/>
            <w:r w:rsidRPr="008438D8">
              <w:t>e.g.</w:t>
            </w:r>
            <w:proofErr w:type="gramEnd"/>
            <w:r w:rsidRPr="008438D8">
              <w:t xml:space="preserve"> the total sodium content per tablet)</w:t>
            </w:r>
          </w:p>
          <w:p w14:paraId="2ECA78CA" w14:textId="45112FBD" w:rsidR="00DF21DF" w:rsidRPr="0046083F" w:rsidRDefault="00DF21DF" w:rsidP="00DF21DF">
            <w:r w:rsidRPr="008438D8">
              <w:t xml:space="preserve">Declaration requirements modified for </w:t>
            </w:r>
            <w:proofErr w:type="spellStart"/>
            <w:r w:rsidRPr="008438D8">
              <w:t>homeopathics</w:t>
            </w:r>
            <w:proofErr w:type="spellEnd"/>
            <w:r w:rsidRPr="008438D8">
              <w:t xml:space="preserve"> and </w:t>
            </w:r>
            <w:proofErr w:type="spellStart"/>
            <w:r w:rsidRPr="008438D8">
              <w:t>anthroposophics</w:t>
            </w:r>
            <w:proofErr w:type="spellEnd"/>
          </w:p>
        </w:tc>
        <w:tc>
          <w:tcPr>
            <w:tcW w:w="1134" w:type="dxa"/>
          </w:tcPr>
          <w:p w14:paraId="2888B713" w14:textId="4DA4913F" w:rsidR="00DF21DF" w:rsidRDefault="00DF21DF" w:rsidP="00DF21DF">
            <w:proofErr w:type="spellStart"/>
            <w:r>
              <w:t>wph</w:t>
            </w:r>
            <w:proofErr w:type="spellEnd"/>
            <w:r>
              <w:t xml:space="preserve"> / </w:t>
            </w:r>
            <w:proofErr w:type="spellStart"/>
            <w:r>
              <w:t>spm</w:t>
            </w:r>
            <w:proofErr w:type="spellEnd"/>
          </w:p>
        </w:tc>
      </w:tr>
      <w:tr w:rsidR="00DF21DF" w:rsidRPr="003C6EF7" w14:paraId="769F01B2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64AD5107" w14:textId="64E1A8A1" w:rsidR="00DF21DF" w:rsidRPr="003C6EF7" w:rsidRDefault="00DF21DF" w:rsidP="00DF21DF">
            <w:r>
              <w:t>1.0</w:t>
            </w:r>
          </w:p>
        </w:tc>
        <w:tc>
          <w:tcPr>
            <w:tcW w:w="7371" w:type="dxa"/>
          </w:tcPr>
          <w:p w14:paraId="680A5C5F" w14:textId="64214170" w:rsidR="00DF21DF" w:rsidRPr="0046083F" w:rsidRDefault="00DF21DF" w:rsidP="00DF21DF">
            <w:r w:rsidRPr="008438D8">
              <w:t>Implementation of HMV4</w:t>
            </w:r>
          </w:p>
        </w:tc>
        <w:tc>
          <w:tcPr>
            <w:tcW w:w="1134" w:type="dxa"/>
          </w:tcPr>
          <w:p w14:paraId="708698C0" w14:textId="305DAA69" w:rsidR="00DF21DF" w:rsidRDefault="00DF21DF" w:rsidP="00DF21DF">
            <w:proofErr w:type="spellStart"/>
            <w:r>
              <w:t>dts</w:t>
            </w:r>
            <w:proofErr w:type="spellEnd"/>
          </w:p>
        </w:tc>
      </w:tr>
    </w:tbl>
    <w:p w14:paraId="44D7D2BF" w14:textId="77777777" w:rsidR="00C87E71" w:rsidRPr="00C87E71" w:rsidRDefault="00C87E71" w:rsidP="00D506C0"/>
    <w:sectPr w:rsidR="00C87E71" w:rsidRPr="00C87E71" w:rsidSect="0002739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1C1D8F3A" w:rsidR="00744EAE" w:rsidRPr="00AD77B5" w:rsidRDefault="002C4A1F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DF21DF">
          <w:rPr>
            <w:rFonts w:eastAsia="Times New Roman"/>
            <w:sz w:val="16"/>
            <w:szCs w:val="18"/>
            <w:lang w:val="de-DE" w:eastAsia="de-DE"/>
          </w:rPr>
          <w:t>ZL000_00_032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F80841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634A5A">
          <w:rPr>
            <w:rFonts w:eastAsia="Times New Roman"/>
            <w:sz w:val="16"/>
            <w:szCs w:val="18"/>
            <w:lang w:val="de-DE" w:eastAsia="de-DE"/>
          </w:rPr>
          <w:t>3.2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3-07-1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634A5A">
          <w:rPr>
            <w:rFonts w:eastAsia="Times New Roman"/>
            <w:sz w:val="16"/>
            <w:szCs w:val="18"/>
            <w:lang w:val="de-CH" w:eastAsia="de-DE"/>
          </w:rPr>
          <w:t>11.07.2023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6104" w14:textId="23E98BEE" w:rsidR="00744EAE" w:rsidRPr="00891D09" w:rsidRDefault="00744EAE" w:rsidP="00FD468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2" w:name="_Hlk133392235"/>
    <w:bookmarkStart w:id="3" w:name="_Hlk133392236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="004C7E5F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4C7E5F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E47820" w:rsidR="008E3078" w:rsidRPr="00CD0790" w:rsidRDefault="009A1186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3360" behindDoc="0" locked="0" layoutInCell="1" allowOverlap="1" wp14:anchorId="0BD97F3F" wp14:editId="3921B946">
          <wp:simplePos x="0" y="0"/>
          <wp:positionH relativeFrom="margin">
            <wp:posOffset>-718820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2" name="Grafik 2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7BD1"/>
    <w:rsid w:val="000C5A67"/>
    <w:rsid w:val="000D3052"/>
    <w:rsid w:val="000D31C0"/>
    <w:rsid w:val="000E0F80"/>
    <w:rsid w:val="000E4A55"/>
    <w:rsid w:val="001000CF"/>
    <w:rsid w:val="00101363"/>
    <w:rsid w:val="001157AF"/>
    <w:rsid w:val="00164435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74829"/>
    <w:rsid w:val="00275C28"/>
    <w:rsid w:val="00286552"/>
    <w:rsid w:val="002C2A9C"/>
    <w:rsid w:val="002C4A1F"/>
    <w:rsid w:val="002C5AD7"/>
    <w:rsid w:val="002F1769"/>
    <w:rsid w:val="003046C7"/>
    <w:rsid w:val="00307BD5"/>
    <w:rsid w:val="00310B2A"/>
    <w:rsid w:val="0031273A"/>
    <w:rsid w:val="0034675B"/>
    <w:rsid w:val="00375176"/>
    <w:rsid w:val="003A77CC"/>
    <w:rsid w:val="003D0FCF"/>
    <w:rsid w:val="003E7490"/>
    <w:rsid w:val="003F2ED8"/>
    <w:rsid w:val="0040339E"/>
    <w:rsid w:val="0045686A"/>
    <w:rsid w:val="004603B9"/>
    <w:rsid w:val="0046083F"/>
    <w:rsid w:val="0046258B"/>
    <w:rsid w:val="00462E38"/>
    <w:rsid w:val="004C7E5F"/>
    <w:rsid w:val="004D28D6"/>
    <w:rsid w:val="004E4A67"/>
    <w:rsid w:val="00503606"/>
    <w:rsid w:val="00504D6A"/>
    <w:rsid w:val="0054128D"/>
    <w:rsid w:val="00551FD7"/>
    <w:rsid w:val="00554492"/>
    <w:rsid w:val="00570C71"/>
    <w:rsid w:val="00591337"/>
    <w:rsid w:val="005923A3"/>
    <w:rsid w:val="005A4058"/>
    <w:rsid w:val="005E0351"/>
    <w:rsid w:val="005F582C"/>
    <w:rsid w:val="00614DE0"/>
    <w:rsid w:val="00634A5A"/>
    <w:rsid w:val="00660B32"/>
    <w:rsid w:val="006652DC"/>
    <w:rsid w:val="00684787"/>
    <w:rsid w:val="006D55CB"/>
    <w:rsid w:val="006F6BD6"/>
    <w:rsid w:val="006F7405"/>
    <w:rsid w:val="007064AF"/>
    <w:rsid w:val="00715F82"/>
    <w:rsid w:val="0072401D"/>
    <w:rsid w:val="00744EAE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353D1"/>
    <w:rsid w:val="00842C1C"/>
    <w:rsid w:val="00852492"/>
    <w:rsid w:val="00871A64"/>
    <w:rsid w:val="00871CFB"/>
    <w:rsid w:val="00891D09"/>
    <w:rsid w:val="00894BE6"/>
    <w:rsid w:val="008A0940"/>
    <w:rsid w:val="008A2B10"/>
    <w:rsid w:val="008A615C"/>
    <w:rsid w:val="008C3F7D"/>
    <w:rsid w:val="008E3078"/>
    <w:rsid w:val="008E4E63"/>
    <w:rsid w:val="00952166"/>
    <w:rsid w:val="00952EC6"/>
    <w:rsid w:val="009762CC"/>
    <w:rsid w:val="0097673D"/>
    <w:rsid w:val="0098311A"/>
    <w:rsid w:val="009A1186"/>
    <w:rsid w:val="009B42E7"/>
    <w:rsid w:val="009B4DE4"/>
    <w:rsid w:val="00A00B56"/>
    <w:rsid w:val="00A01F41"/>
    <w:rsid w:val="00A07F2C"/>
    <w:rsid w:val="00A112AA"/>
    <w:rsid w:val="00A3563E"/>
    <w:rsid w:val="00A55BC6"/>
    <w:rsid w:val="00A62FDA"/>
    <w:rsid w:val="00A6363B"/>
    <w:rsid w:val="00A72A65"/>
    <w:rsid w:val="00AA6B33"/>
    <w:rsid w:val="00AD4B06"/>
    <w:rsid w:val="00AD75E4"/>
    <w:rsid w:val="00AE23CD"/>
    <w:rsid w:val="00AE7EB0"/>
    <w:rsid w:val="00B05BF2"/>
    <w:rsid w:val="00B37D9E"/>
    <w:rsid w:val="00B4653A"/>
    <w:rsid w:val="00B70945"/>
    <w:rsid w:val="00B711BD"/>
    <w:rsid w:val="00BB42AA"/>
    <w:rsid w:val="00C03AD1"/>
    <w:rsid w:val="00C14AB6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21DF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A4BC7"/>
    <w:rsid w:val="00ED2A4B"/>
    <w:rsid w:val="00EE4971"/>
    <w:rsid w:val="00EE5AB5"/>
    <w:rsid w:val="00F25AE0"/>
    <w:rsid w:val="00F25C24"/>
    <w:rsid w:val="00F31231"/>
    <w:rsid w:val="00F37611"/>
    <w:rsid w:val="00F41C5D"/>
    <w:rsid w:val="00F47E58"/>
    <w:rsid w:val="00F670BD"/>
    <w:rsid w:val="00F754C7"/>
    <w:rsid w:val="00F80841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A9444F6BF5B144CDAF5F5A6D74A9F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E3A20-6C08-40C5-999E-5827AEBAC944}"/>
      </w:docPartPr>
      <w:docPartBody>
        <w:p w:rsidR="00990E8B" w:rsidRDefault="000E76A6" w:rsidP="000E76A6">
          <w:pPr>
            <w:pStyle w:val="A9444F6BF5B144CDAF5F5A6D74A9F0DD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015D0EFB58154A91A239FCDBB207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7813-F2B9-4C17-8DBC-9498C7067328}"/>
      </w:docPartPr>
      <w:docPartBody>
        <w:p w:rsidR="00990E8B" w:rsidRDefault="000E76A6" w:rsidP="000E76A6">
          <w:pPr>
            <w:pStyle w:val="015D0EFB58154A91A239FCDBB2070AC5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796569FFDD80424C8F4B6459E64B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A0160-D96E-4A5D-8F47-8D8F6A7AAE90}"/>
      </w:docPartPr>
      <w:docPartBody>
        <w:p w:rsidR="00990E8B" w:rsidRDefault="000E76A6" w:rsidP="000E76A6">
          <w:pPr>
            <w:pStyle w:val="796569FFDD80424C8F4B6459E64B6E95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E715EAF6E5EE49A6ABAF99D6F92D4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0E74F-A21B-46FB-9911-E5FE32B842E1}"/>
      </w:docPartPr>
      <w:docPartBody>
        <w:p w:rsidR="00990E8B" w:rsidRDefault="000E76A6" w:rsidP="000E76A6">
          <w:pPr>
            <w:pStyle w:val="E715EAF6E5EE49A6ABAF99D6F92D4566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259DDA3BB1C9431380C841EC82DF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3DE1F-1DB4-41BC-8841-7B8715F3FF65}"/>
      </w:docPartPr>
      <w:docPartBody>
        <w:p w:rsidR="00990E8B" w:rsidRDefault="000E76A6" w:rsidP="000E76A6">
          <w:pPr>
            <w:pStyle w:val="259DDA3BB1C9431380C841EC82DF809F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A0FDAAE1A8F94CB2A5490227710DB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59EEB-3445-4975-AC8F-852F3B82A19D}"/>
      </w:docPartPr>
      <w:docPartBody>
        <w:p w:rsidR="008D3DBD" w:rsidRDefault="00AA221F" w:rsidP="00AA221F">
          <w:pPr>
            <w:pStyle w:val="A0FDAAE1A8F94CB2A5490227710DB6E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31F1C4C1D274AB5829112B75D24F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A1BC7-C4FA-43B0-98AF-8553FA81D10F}"/>
      </w:docPartPr>
      <w:docPartBody>
        <w:p w:rsidR="008D3DBD" w:rsidRDefault="00AA221F" w:rsidP="00AA221F">
          <w:pPr>
            <w:pStyle w:val="631F1C4C1D274AB5829112B75D24F70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2ADA7B78181423DA9AAB5F615A29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6D694-83C0-47AA-99C1-066FDE900746}"/>
      </w:docPartPr>
      <w:docPartBody>
        <w:p w:rsidR="008D3DBD" w:rsidRDefault="00AA221F" w:rsidP="00AA221F">
          <w:pPr>
            <w:pStyle w:val="C2ADA7B78181423DA9AAB5F615A29BC3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208C66AEED44903A5951308AEE99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6D803-6B40-4749-A37C-94EA00860F12}"/>
      </w:docPartPr>
      <w:docPartBody>
        <w:p w:rsidR="008D3DBD" w:rsidRDefault="00AA221F" w:rsidP="00AA221F">
          <w:pPr>
            <w:pStyle w:val="E208C66AEED44903A5951308AEE996E2"/>
          </w:pPr>
          <w:r w:rsidRPr="00F30853"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E76A6"/>
    <w:rsid w:val="003129BC"/>
    <w:rsid w:val="003516B4"/>
    <w:rsid w:val="00380D30"/>
    <w:rsid w:val="00384D68"/>
    <w:rsid w:val="004A3602"/>
    <w:rsid w:val="005463BA"/>
    <w:rsid w:val="005A25E0"/>
    <w:rsid w:val="005C6CB5"/>
    <w:rsid w:val="005E6D1E"/>
    <w:rsid w:val="00607FB2"/>
    <w:rsid w:val="0065213E"/>
    <w:rsid w:val="00660131"/>
    <w:rsid w:val="0081152A"/>
    <w:rsid w:val="0083119D"/>
    <w:rsid w:val="0087206E"/>
    <w:rsid w:val="008D3DBD"/>
    <w:rsid w:val="00916C65"/>
    <w:rsid w:val="00990E8B"/>
    <w:rsid w:val="009E23BF"/>
    <w:rsid w:val="00A03673"/>
    <w:rsid w:val="00A871D4"/>
    <w:rsid w:val="00AA221F"/>
    <w:rsid w:val="00B92FE6"/>
    <w:rsid w:val="00BC0B90"/>
    <w:rsid w:val="00C1013B"/>
    <w:rsid w:val="00CF6D5B"/>
    <w:rsid w:val="00D931F0"/>
    <w:rsid w:val="00DA066B"/>
    <w:rsid w:val="00DE38AF"/>
    <w:rsid w:val="00DF002B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221F"/>
    <w:rPr>
      <w:color w:val="808080"/>
    </w:rPr>
  </w:style>
  <w:style w:type="paragraph" w:customStyle="1" w:styleId="A9444F6BF5B144CDAF5F5A6D74A9F0DD">
    <w:name w:val="A9444F6BF5B144CDAF5F5A6D74A9F0DD"/>
    <w:rsid w:val="000E76A6"/>
  </w:style>
  <w:style w:type="paragraph" w:customStyle="1" w:styleId="015D0EFB58154A91A239FCDBB2070AC5">
    <w:name w:val="015D0EFB58154A91A239FCDBB2070AC5"/>
    <w:rsid w:val="000E76A6"/>
  </w:style>
  <w:style w:type="paragraph" w:customStyle="1" w:styleId="796569FFDD80424C8F4B6459E64B6E95">
    <w:name w:val="796569FFDD80424C8F4B6459E64B6E95"/>
    <w:rsid w:val="000E76A6"/>
  </w:style>
  <w:style w:type="paragraph" w:customStyle="1" w:styleId="E715EAF6E5EE49A6ABAF99D6F92D4566">
    <w:name w:val="E715EAF6E5EE49A6ABAF99D6F92D4566"/>
    <w:rsid w:val="000E76A6"/>
  </w:style>
  <w:style w:type="paragraph" w:customStyle="1" w:styleId="259DDA3BB1C9431380C841EC82DF809F">
    <w:name w:val="259DDA3BB1C9431380C841EC82DF809F"/>
    <w:rsid w:val="000E76A6"/>
  </w:style>
  <w:style w:type="paragraph" w:customStyle="1" w:styleId="A0FDAAE1A8F94CB2A5490227710DB6E1">
    <w:name w:val="A0FDAAE1A8F94CB2A5490227710DB6E1"/>
    <w:rsid w:val="00AA221F"/>
  </w:style>
  <w:style w:type="paragraph" w:customStyle="1" w:styleId="631F1C4C1D274AB5829112B75D24F70F">
    <w:name w:val="631F1C4C1D274AB5829112B75D24F70F"/>
    <w:rsid w:val="00AA221F"/>
  </w:style>
  <w:style w:type="paragraph" w:customStyle="1" w:styleId="C2ADA7B78181423DA9AAB5F615A29BC3">
    <w:name w:val="C2ADA7B78181423DA9AAB5F615A29BC3"/>
    <w:rsid w:val="00AA221F"/>
  </w:style>
  <w:style w:type="paragraph" w:customStyle="1" w:styleId="E208C66AEED44903A5951308AEE996E2">
    <w:name w:val="E208C66AEED44903A5951308AEE996E2"/>
    <w:rsid w:val="00AA2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2023-07-10T22:00:00+00:00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3.2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e</SMC_DLS_LanguageCode>
    <SMC_DLS_Ident_Nr xmlns="cc849c59-bc9e-4bc8-a07b-479ec9147289">ZL000_00_032</SMC_DLS_Ident_Nr>
    <SMC_DLS_Initiator xmlns="cc849c59-bc9e-4bc8-a07b-479ec9147289">Isabella.Dematteis@Swissmedic.ch</SMC_DLS_Initiator>
    <SMC_DLS_Verification_Formal xmlns="cc849c59-bc9e-4bc8-a07b-479ec9147289">2023-09-21T10:11:17+00:00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2023-09-25T17:36:43+00:00</SMC_DLS_Approval>
    <SMC_DLS_ReasonForChange xmlns="cc849c59-bc9e-4bc8-a07b-479ec9147289">Formatierung muss angepasst werden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624</Value>
      <Value>615</Value>
      <Value>726</Value>
      <Value>721</Value>
      <Value>703</Value>
      <Value>702</Value>
      <Value>769</Value>
      <Value>853</Value>
      <Value>716</Value>
    </TaxCatchAll>
    <SMC_VMS_Dokumentantrag_Datum xmlns="d7a92f3c-c538-4008-b985-066beffc4d06">2023-08-21T15:17:55+00:00</SMC_VMS_Dokumentantrag_Datum>
    <SMC_VMS_DocId xmlns="d7a92f3c-c538-4008-b985-066beffc4d06">9998537020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stb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141102 Antrag Orphan-MUMS Status (ZL102)</TermName>
          <TermId xmlns="http://schemas.microsoft.com/office/infopath/2007/PartnerControls">bf898b21-8e5e-42ba-ad47-b5efd86dcd08</TermId>
        </TermInfo>
        <TermInfo xmlns="http://schemas.microsoft.com/office/infopath/2007/PartnerControls">
          <TermName xmlns="http://schemas.microsoft.com/office/infopath/2007/PartnerControls">141108 Co-Marketing (ZL108)</TermName>
          <TermId xmlns="http://schemas.microsoft.com/office/infopath/2007/PartnerControls">ded58475-dabc-49b7-89f2-1700a6a1e4f8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  <TermInfo xmlns="http://schemas.microsoft.com/office/infopath/2007/PartnerControls">
          <TermName xmlns="http://schemas.microsoft.com/office/infopath/2007/PartnerControls">141112 Meldeverfahren Tierarzneimittel (ZL112)</TermName>
          <TermId xmlns="http://schemas.microsoft.com/office/infopath/2007/PartnerControls">524309c0-ce85-4324-8932-7976531db70e</TermId>
        </TermInfo>
        <TermInfo xmlns="http://schemas.microsoft.com/office/infopath/2007/PartnerControls">
          <TermName xmlns="http://schemas.microsoft.com/office/infopath/2007/PartnerControls">1410209 Verlängerung und Verlängerungsverzicht (ZL201)</TermName>
          <TermId xmlns="http://schemas.microsoft.com/office/infopath/2007/PartnerControls">78cd6f5a-070f-427d-941d-8eb236983100</TermId>
        </TermInfo>
        <TermInfo xmlns="http://schemas.microsoft.com/office/infopath/2007/PartnerControls">
          <TermName xmlns="http://schemas.microsoft.com/office/infopath/2007/PartnerControls">14101 Prozesse Ebene 1</TermName>
          <TermId xmlns="http://schemas.microsoft.com/office/infopath/2007/PartnerControls">dca2efac-164c-41d5-909f-8ec630e09c0f</TermId>
        </TermInfo>
        <TermInfo xmlns="http://schemas.microsoft.com/office/infopath/2007/PartnerControls">
          <TermName xmlns="http://schemas.microsoft.com/office/infopath/2007/PartnerControls">141 Zulassung</TermName>
          <TermId xmlns="http://schemas.microsoft.com/office/infopath/2007/PartnerControls">f2986270-b10e-49a3-80a7-61cda018c8b3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9998536576</SMC_VMS_Uebersetung_von_Dok>
    <SMC_VMS_Internet_Urls xmlns="d7a92f3c-c538-4008-b985-066beffc4d06">https://www.swissmedic.ch/swissmedic/en/home/services/documents/humanarzneimittel_hmv4.html
https://www.swissmedic.ch/swissmedic/en/home/services/documents/tierarzneimittel_hmv4.html
https://www.swissmedic.ch/swissmedic/en/home/services/documents/komplementaerarzneimittel_hmv4.html
https://www.swissmedic.ch/swissmedic/en/home/services/documents/phytoarzneimittel_hmv4.html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2023-09-21T10:11:13+00:00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5362A-2974-4197-A873-9F0997F4849B}">
  <ds:schemaRefs>
    <ds:schemaRef ds:uri="7f53df7b-c423-4edd-a7c2-6cb13d7c17d2"/>
    <ds:schemaRef ds:uri="http://purl.org/dc/elements/1.1/"/>
    <ds:schemaRef ds:uri="d7a92f3c-c538-4008-b985-066beffc4d06"/>
    <ds:schemaRef ds:uri="http://purl.org/dc/dcmitype/"/>
    <ds:schemaRef ds:uri="http://purl.org/dc/terms/"/>
    <ds:schemaRef ds:uri="http://schemas.microsoft.com/sharepoint/v3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c849c59-bc9e-4bc8-a07b-479ec9147289"/>
  </ds:schemaRefs>
</ds:datastoreItem>
</file>

<file path=customXml/itemProps4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14A637-9401-43C1-A364-C81A85991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Full declaration</vt:lpstr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declaration</dc:title>
  <dc:subject/>
  <dc:creator>Swissmedic</dc:creator>
  <cp:keywords/>
  <dc:description/>
  <cp:lastModifiedBy>Müller-Mook Renate Swissmedic</cp:lastModifiedBy>
  <cp:revision>3</cp:revision>
  <dcterms:created xsi:type="dcterms:W3CDTF">2023-10-02T13:22:00Z</dcterms:created>
  <dcterms:modified xsi:type="dcterms:W3CDTF">2023-10-04T15:18:00Z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(ZL101)|5840a737-f2d3-4320-9396-04a83cff7dc5;#716;#141102 Antrag Orphan-MUMS Status (ZL102)|bf898b21-8e5e-42ba-ad47-b5efd86dcd08;#721;#141108 Co-Marketing (ZL108)|ded58475-dabc-49b7-89f2-1700a6a1e4f8;#702;#141109 Befristete Zulassung (ZL109)|834e7490-505b-4ec5-8ae6-c49984ea87d0;#703;#141112 Meldeverfahren Tierarzneimittel (ZL112)|524309c0-ce85-4324-8932-7976531db70e;#853;#1410209 Verlängerung und Verlängerungsverzicht (ZL201)|78cd6f5a-070f-427d-941d-8eb236983100;#615;#14101 Prozesse Ebene 1|dca2efac-164c-41d5-909f-8ec630e09c0f;#769;#141 Zulassung|f2986270-b10e-49a3-80a7-61cda018c8b3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Intranet_Date">
    <vt:filetime>2021-11-30T23:00:00Z</vt:filetime>
  </property>
  <property fmtid="{D5CDD505-2E9C-101B-9397-08002B2CF9AE}" pid="14" name="SMC_VMS_SMJ_Date">
    <vt:filetime>2021-11-30T23:00:00Z</vt:filetime>
  </property>
  <property fmtid="{D5CDD505-2E9C-101B-9397-08002B2CF9AE}" pid="15" name="SMC_VMS_SMJ">
    <vt:bool>true</vt:bool>
  </property>
</Properties>
</file>